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136E" w14:textId="77777777" w:rsidR="002B6B0C" w:rsidRPr="00366D6D" w:rsidRDefault="002B6B0C" w:rsidP="004830B3">
      <w:pPr>
        <w:shd w:val="clear" w:color="auto" w:fill="A5C9EB" w:themeFill="text2" w:themeFillTint="40"/>
        <w:jc w:val="center"/>
        <w:rPr>
          <w:rFonts w:ascii="Trebuchet MS" w:hAnsi="Trebuchet MS"/>
          <w:b/>
          <w:bCs/>
          <w:sz w:val="22"/>
          <w:szCs w:val="22"/>
          <w:u w:val="single"/>
          <w:lang w:val="it-IT"/>
        </w:rPr>
      </w:pPr>
      <w:r w:rsidRPr="00366D6D">
        <w:rPr>
          <w:rFonts w:ascii="Trebuchet MS" w:hAnsi="Trebuchet MS"/>
          <w:b/>
          <w:bCs/>
          <w:sz w:val="22"/>
          <w:szCs w:val="22"/>
          <w:u w:val="single"/>
          <w:lang w:val="it-IT"/>
        </w:rPr>
        <w:t>Atentionare privind aplicarea clauzelor de ajustare a pretului in contractele de lucrari finantate prin Programul Regional Sud-Vest Oltenia</w:t>
      </w:r>
    </w:p>
    <w:p w14:paraId="4AB62559" w14:textId="77777777" w:rsidR="002B6B0C" w:rsidRPr="002B6B0C" w:rsidRDefault="002B6B0C" w:rsidP="002B6B0C">
      <w:pPr>
        <w:jc w:val="both"/>
        <w:rPr>
          <w:rFonts w:ascii="Trebuchet MS" w:hAnsi="Trebuchet MS"/>
          <w:sz w:val="22"/>
          <w:szCs w:val="22"/>
          <w:lang w:val="it-IT"/>
        </w:rPr>
      </w:pPr>
    </w:p>
    <w:p w14:paraId="48C39EA0" w14:textId="77777777" w:rsidR="002B6B0C" w:rsidRPr="002B6B0C" w:rsidRDefault="002B6B0C" w:rsidP="002B6B0C">
      <w:pPr>
        <w:jc w:val="both"/>
        <w:rPr>
          <w:rFonts w:ascii="Trebuchet MS" w:hAnsi="Trebuchet MS"/>
          <w:sz w:val="22"/>
          <w:szCs w:val="22"/>
          <w:lang w:val="it-IT"/>
        </w:rPr>
      </w:pPr>
      <w:r w:rsidRPr="002B6B0C">
        <w:rPr>
          <w:rFonts w:ascii="Trebuchet MS" w:hAnsi="Trebuchet MS"/>
          <w:sz w:val="22"/>
          <w:szCs w:val="22"/>
          <w:lang w:val="it-IT"/>
        </w:rPr>
        <w:t xml:space="preserve">Autoritatea de Management pentru Programul Regional Sud-Vest Oltenia aduce in atentia beneficiarilor faptul ca </w:t>
      </w:r>
      <w:r w:rsidRPr="00DC6D72">
        <w:rPr>
          <w:rFonts w:ascii="Trebuchet MS" w:hAnsi="Trebuchet MS"/>
          <w:b/>
          <w:bCs/>
          <w:sz w:val="22"/>
          <w:szCs w:val="22"/>
          <w:lang w:val="it-IT"/>
        </w:rPr>
        <w:t>aplicarea ajustarilor de pret in cadrul contractelor de lucrari trebuie realizata cu respectarea stricta a prevederilor contractuale, a documentatiei de atribuire si a dispozitiilor legale aplicabile in materia achizitiilor publice</w:t>
      </w:r>
      <w:r w:rsidRPr="002B6B0C">
        <w:rPr>
          <w:rFonts w:ascii="Trebuchet MS" w:hAnsi="Trebuchet MS"/>
          <w:sz w:val="22"/>
          <w:szCs w:val="22"/>
          <w:lang w:val="it-IT"/>
        </w:rPr>
        <w:t>.</w:t>
      </w:r>
    </w:p>
    <w:p w14:paraId="5BE58423" w14:textId="77777777" w:rsidR="002B6B0C" w:rsidRPr="002B6B0C" w:rsidRDefault="002B6B0C" w:rsidP="002B6B0C">
      <w:pPr>
        <w:jc w:val="both"/>
        <w:rPr>
          <w:rFonts w:ascii="Trebuchet MS" w:hAnsi="Trebuchet MS"/>
          <w:sz w:val="22"/>
          <w:szCs w:val="22"/>
          <w:lang w:val="it-IT"/>
        </w:rPr>
      </w:pPr>
      <w:r w:rsidRPr="00DC6D72">
        <w:rPr>
          <w:rFonts w:ascii="Trebuchet MS" w:hAnsi="Trebuchet MS"/>
          <w:b/>
          <w:bCs/>
          <w:sz w:val="22"/>
          <w:szCs w:val="22"/>
          <w:lang w:val="it-IT"/>
        </w:rPr>
        <w:t>In ultima perioada</w:t>
      </w:r>
      <w:r w:rsidRPr="002B6B0C">
        <w:rPr>
          <w:rFonts w:ascii="Trebuchet MS" w:hAnsi="Trebuchet MS"/>
          <w:sz w:val="22"/>
          <w:szCs w:val="22"/>
          <w:lang w:val="it-IT"/>
        </w:rPr>
        <w:t xml:space="preserve">, </w:t>
      </w:r>
      <w:r w:rsidRPr="00DC6D72">
        <w:rPr>
          <w:rFonts w:ascii="Trebuchet MS" w:hAnsi="Trebuchet MS"/>
          <w:b/>
          <w:bCs/>
          <w:sz w:val="22"/>
          <w:szCs w:val="22"/>
          <w:lang w:val="it-IT"/>
        </w:rPr>
        <w:t>au fost transmise catre Autoritatea de Management solicitari privind posibilitatea modificarii formulelor de ajustare a pretului, completarii ulterioare a unor elemente ale formulei de calcul sau decontarii ajustarilor de pret din rezerva de implementare a proiectului.</w:t>
      </w:r>
      <w:r w:rsidRPr="002B6B0C">
        <w:rPr>
          <w:rFonts w:ascii="Trebuchet MS" w:hAnsi="Trebuchet MS"/>
          <w:sz w:val="22"/>
          <w:szCs w:val="22"/>
          <w:lang w:val="it-IT"/>
        </w:rPr>
        <w:t xml:space="preserve"> </w:t>
      </w:r>
      <w:r w:rsidRPr="00DC6D72">
        <w:rPr>
          <w:rFonts w:ascii="Trebuchet MS" w:hAnsi="Trebuchet MS"/>
          <w:b/>
          <w:bCs/>
          <w:sz w:val="22"/>
          <w:szCs w:val="22"/>
          <w:u w:val="single"/>
          <w:lang w:val="it-IT"/>
        </w:rPr>
        <w:t>Avand in vedere riscurile asociate acestor situatii, consideram necesara formularea unor precizari cu caracter general</w:t>
      </w:r>
      <w:r w:rsidRPr="002B6B0C">
        <w:rPr>
          <w:rFonts w:ascii="Trebuchet MS" w:hAnsi="Trebuchet MS"/>
          <w:sz w:val="22"/>
          <w:szCs w:val="22"/>
          <w:lang w:val="it-IT"/>
        </w:rPr>
        <w:t>.</w:t>
      </w:r>
    </w:p>
    <w:p w14:paraId="3D717E44" w14:textId="39CB9B92" w:rsidR="004830B3" w:rsidRPr="004830B3" w:rsidRDefault="004830B3" w:rsidP="004830B3">
      <w:pPr>
        <w:pStyle w:val="ListParagraph"/>
        <w:shd w:val="clear" w:color="auto" w:fill="A5C9EB" w:themeFill="text2" w:themeFillTint="40"/>
        <w:ind w:left="72"/>
        <w:jc w:val="both"/>
        <w:rPr>
          <w:rFonts w:ascii="Trebuchet MS" w:hAnsi="Trebuchet MS"/>
          <w:b/>
          <w:bCs/>
          <w:sz w:val="22"/>
          <w:szCs w:val="22"/>
          <w:u w:val="single"/>
          <w:lang w:val="it-IT"/>
        </w:rPr>
      </w:pPr>
      <w:r w:rsidRPr="004830B3">
        <w:rPr>
          <w:rFonts w:ascii="Trebuchet MS" w:hAnsi="Trebuchet MS"/>
          <w:b/>
          <w:bCs/>
          <w:sz w:val="22"/>
          <w:szCs w:val="22"/>
          <w:u w:val="single"/>
          <w:lang w:val="it-IT"/>
        </w:rPr>
        <w:t>1. Conditiile de aplicare a clauzei de ajustare a pretului</w:t>
      </w:r>
    </w:p>
    <w:p w14:paraId="3806FD13" w14:textId="7A2375F7" w:rsidR="002B6B0C" w:rsidRPr="00820818" w:rsidRDefault="002B6B0C" w:rsidP="004830B3">
      <w:pPr>
        <w:pStyle w:val="ListParagraph"/>
        <w:ind w:left="72"/>
        <w:jc w:val="both"/>
        <w:rPr>
          <w:rFonts w:ascii="Trebuchet MS" w:hAnsi="Trebuchet MS"/>
          <w:sz w:val="22"/>
          <w:szCs w:val="22"/>
          <w:lang w:val="it-IT"/>
        </w:rPr>
      </w:pPr>
      <w:r w:rsidRPr="00820818">
        <w:rPr>
          <w:rFonts w:ascii="Trebuchet MS" w:hAnsi="Trebuchet MS"/>
          <w:sz w:val="22"/>
          <w:szCs w:val="22"/>
          <w:lang w:val="it-IT"/>
        </w:rPr>
        <w:t xml:space="preserve">Potrivit legislatiei in domeniul achizitiilor publice, ajustarea pretului contractului poate fi realizata numai in conditiile in care </w:t>
      </w:r>
      <w:r w:rsidRPr="00820818">
        <w:rPr>
          <w:rFonts w:ascii="Trebuchet MS" w:hAnsi="Trebuchet MS"/>
          <w:b/>
          <w:bCs/>
          <w:sz w:val="22"/>
          <w:szCs w:val="22"/>
          <w:u w:val="single"/>
          <w:lang w:val="it-IT"/>
        </w:rPr>
        <w:t xml:space="preserve">mecanismul de ajustare a fost prevazut in mod clar, precis si fara echivoc in documentele achizitiei initiale si in contractul de achizitie publica. </w:t>
      </w:r>
      <w:r w:rsidRPr="00820818">
        <w:rPr>
          <w:rFonts w:ascii="Trebuchet MS" w:hAnsi="Trebuchet MS"/>
          <w:sz w:val="22"/>
          <w:szCs w:val="22"/>
          <w:lang w:val="it-IT"/>
        </w:rPr>
        <w:t>Clauza de ajustare trebuie sa permita aplicarea directa si nemijlocita a formulei de calcul, fara a fi necesara negocierea, completarea sau modificarea acesteia ulterior semnarii contractului.</w:t>
      </w:r>
    </w:p>
    <w:p w14:paraId="2CFC004B" w14:textId="32CD5E95" w:rsidR="002B6B0C" w:rsidRPr="002B6B0C" w:rsidRDefault="002B6B0C" w:rsidP="002B6B0C">
      <w:pPr>
        <w:jc w:val="both"/>
        <w:rPr>
          <w:rFonts w:ascii="Trebuchet MS" w:hAnsi="Trebuchet MS"/>
          <w:sz w:val="22"/>
          <w:szCs w:val="22"/>
          <w:lang w:val="it-IT"/>
        </w:rPr>
      </w:pPr>
      <w:r w:rsidRPr="002B6B0C">
        <w:rPr>
          <w:rFonts w:ascii="Trebuchet MS" w:hAnsi="Trebuchet MS"/>
          <w:sz w:val="22"/>
          <w:szCs w:val="22"/>
          <w:lang w:val="it-IT"/>
        </w:rPr>
        <w:t xml:space="preserve">Prin urmare, beneficiarii trebuie sa aiba in vedere faptul ca </w:t>
      </w:r>
      <w:r w:rsidRPr="00DC6D72">
        <w:rPr>
          <w:rFonts w:ascii="Trebuchet MS" w:hAnsi="Trebuchet MS"/>
          <w:b/>
          <w:bCs/>
          <w:sz w:val="22"/>
          <w:szCs w:val="22"/>
          <w:lang w:val="it-IT"/>
        </w:rPr>
        <w:t>nu este suficienta existenta unei mentiuni generale privind ajustarea pretului.</w:t>
      </w:r>
      <w:r w:rsidRPr="002B6B0C">
        <w:rPr>
          <w:rFonts w:ascii="Trebuchet MS" w:hAnsi="Trebuchet MS"/>
          <w:sz w:val="22"/>
          <w:szCs w:val="22"/>
          <w:lang w:val="it-IT"/>
        </w:rPr>
        <w:t xml:space="preserve"> Formula de ajustare trebuie sa fie completa si aplicabila, iar elementele esentiale ale acesteia trebuie sa fie determinate sau determinabile in mod obiectiv inca de la momentul </w:t>
      </w:r>
      <w:r>
        <w:rPr>
          <w:rFonts w:ascii="Trebuchet MS" w:hAnsi="Trebuchet MS"/>
          <w:sz w:val="22"/>
          <w:szCs w:val="22"/>
          <w:lang w:val="it-IT"/>
        </w:rPr>
        <w:t>publicarii documentatiei de atribuire in SEAP</w:t>
      </w:r>
      <w:r w:rsidRPr="002B6B0C">
        <w:rPr>
          <w:rFonts w:ascii="Trebuchet MS" w:hAnsi="Trebuchet MS"/>
          <w:sz w:val="22"/>
          <w:szCs w:val="22"/>
          <w:lang w:val="it-IT"/>
        </w:rPr>
        <w:t>.</w:t>
      </w:r>
    </w:p>
    <w:p w14:paraId="61089BD7" w14:textId="77777777" w:rsidR="002B6B0C" w:rsidRPr="00DC6D72" w:rsidRDefault="002B6B0C" w:rsidP="002B6B0C">
      <w:pPr>
        <w:jc w:val="both"/>
        <w:rPr>
          <w:rFonts w:ascii="Trebuchet MS" w:hAnsi="Trebuchet MS"/>
          <w:b/>
          <w:bCs/>
          <w:sz w:val="22"/>
          <w:szCs w:val="22"/>
          <w:lang w:val="it-IT"/>
        </w:rPr>
      </w:pPr>
      <w:r w:rsidRPr="00DC6D72">
        <w:rPr>
          <w:rFonts w:ascii="Trebuchet MS" w:hAnsi="Trebuchet MS"/>
          <w:b/>
          <w:bCs/>
          <w:sz w:val="22"/>
          <w:szCs w:val="22"/>
          <w:lang w:val="it-IT"/>
        </w:rPr>
        <w:t>In acest sens, trebuie analizate, dupa caz:</w:t>
      </w:r>
    </w:p>
    <w:p w14:paraId="5B77A7E0"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formula de ajustare prevazuta in documentatia de atribuire si in contract;</w:t>
      </w:r>
    </w:p>
    <w:p w14:paraId="18702D4B"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indicii utilizati in formula de ajustare;</w:t>
      </w:r>
    </w:p>
    <w:p w14:paraId="228665D2"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sursa indicilor, respectiv publicatia/statistica oficiala aplicabila;</w:t>
      </w:r>
    </w:p>
    <w:p w14:paraId="18FCFF62"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luna/data de referinta;</w:t>
      </w:r>
    </w:p>
    <w:p w14:paraId="3CDE2120"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modalitatea de determinare a indicilor curenti;</w:t>
      </w:r>
    </w:p>
    <w:p w14:paraId="30A9B041"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coeficientii de ponderare ai elementelor de cost, acolo unde formula ii utilizeaza;</w:t>
      </w:r>
    </w:p>
    <w:p w14:paraId="78DB691A"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conditiile si limitele in care ajustarea poate fi aplicata;</w:t>
      </w:r>
    </w:p>
    <w:p w14:paraId="145C1331" w14:textId="77777777" w:rsidR="002B6B0C" w:rsidRPr="00F66508" w:rsidRDefault="002B6B0C" w:rsidP="002B6B0C">
      <w:pPr>
        <w:pStyle w:val="ListParagraph"/>
        <w:numPr>
          <w:ilvl w:val="0"/>
          <w:numId w:val="1"/>
        </w:numPr>
        <w:jc w:val="both"/>
        <w:rPr>
          <w:rFonts w:ascii="Trebuchet MS" w:hAnsi="Trebuchet MS"/>
          <w:sz w:val="22"/>
          <w:szCs w:val="22"/>
          <w:lang w:val="it-IT"/>
        </w:rPr>
      </w:pPr>
      <w:r w:rsidRPr="00F66508">
        <w:rPr>
          <w:rFonts w:ascii="Trebuchet MS" w:hAnsi="Trebuchet MS"/>
          <w:sz w:val="22"/>
          <w:szCs w:val="22"/>
          <w:lang w:val="it-IT"/>
        </w:rPr>
        <w:t>corelarea dintre clauza contractuala si documentele achizitiei initiale.</w:t>
      </w:r>
    </w:p>
    <w:p w14:paraId="112D7E9F" w14:textId="77777777" w:rsidR="002B6B0C" w:rsidRPr="00DC6D72" w:rsidRDefault="002B6B0C" w:rsidP="002B6B0C">
      <w:pPr>
        <w:jc w:val="both"/>
        <w:rPr>
          <w:rFonts w:ascii="Trebuchet MS" w:hAnsi="Trebuchet MS"/>
          <w:b/>
          <w:bCs/>
          <w:sz w:val="22"/>
          <w:szCs w:val="22"/>
          <w:u w:val="single"/>
          <w:lang w:val="it-IT"/>
        </w:rPr>
      </w:pPr>
      <w:r w:rsidRPr="00DC6D72">
        <w:rPr>
          <w:rFonts w:ascii="Trebuchet MS" w:hAnsi="Trebuchet MS"/>
          <w:b/>
          <w:bCs/>
          <w:sz w:val="22"/>
          <w:szCs w:val="22"/>
          <w:u w:val="single"/>
          <w:lang w:val="it-IT"/>
        </w:rPr>
        <w:t>Modificarea formulei de ajustare dupa semnarea contractului, inlocuirea acesteia cu o alta formula sau completarea ulterioara a unor elemente esentiale care nu au fost stabilite initial pot reprezenta modificari ale mecanismului financiar al contractului. Astfel de interventii nu pot fi tratate ca simple operatiuni de aplicare a contractului, ci pot constitui modificari ale contractului de achizitie publica pe perioada de executare.</w:t>
      </w:r>
    </w:p>
    <w:p w14:paraId="766E027D" w14:textId="77777777" w:rsidR="002B6B0C" w:rsidRPr="00820818" w:rsidRDefault="002B6B0C" w:rsidP="002B6B0C">
      <w:pPr>
        <w:jc w:val="both"/>
        <w:rPr>
          <w:rFonts w:ascii="Trebuchet MS" w:hAnsi="Trebuchet MS"/>
          <w:b/>
          <w:bCs/>
          <w:sz w:val="22"/>
          <w:szCs w:val="22"/>
          <w:lang w:val="it-IT"/>
        </w:rPr>
      </w:pPr>
      <w:r w:rsidRPr="00820818">
        <w:rPr>
          <w:rFonts w:ascii="Trebuchet MS" w:hAnsi="Trebuchet MS"/>
          <w:b/>
          <w:bCs/>
          <w:sz w:val="22"/>
          <w:szCs w:val="22"/>
          <w:lang w:val="it-IT"/>
        </w:rPr>
        <w:t>In masura in care o asemenea modificare nu se incadreaza in conditiile prevazute de art. 221 din Legea nr. 98/2016, aceasta poate prezenta risc de a fi calificata drept modificare</w:t>
      </w:r>
      <w:r w:rsidRPr="00820818">
        <w:rPr>
          <w:rFonts w:ascii="Trebuchet MS" w:hAnsi="Trebuchet MS"/>
          <w:sz w:val="22"/>
          <w:szCs w:val="22"/>
          <w:lang w:val="it-IT"/>
        </w:rPr>
        <w:t xml:space="preserve"> </w:t>
      </w:r>
      <w:r w:rsidRPr="00820818">
        <w:rPr>
          <w:rFonts w:ascii="Trebuchet MS" w:hAnsi="Trebuchet MS"/>
          <w:b/>
          <w:bCs/>
          <w:sz w:val="22"/>
          <w:szCs w:val="22"/>
          <w:lang w:val="it-IT"/>
        </w:rPr>
        <w:lastRenderedPageBreak/>
        <w:t>substantiala a contractului, cu posibile consecinte asupra eligibilitatii cheltuielilor si cu risc de aplicare a unor corectii financiare.</w:t>
      </w:r>
    </w:p>
    <w:p w14:paraId="5958C70B" w14:textId="77777777" w:rsidR="002B6B0C" w:rsidRPr="002B6B0C" w:rsidRDefault="002B6B0C" w:rsidP="002B6B0C">
      <w:pPr>
        <w:jc w:val="both"/>
        <w:rPr>
          <w:rFonts w:ascii="Trebuchet MS" w:hAnsi="Trebuchet MS"/>
          <w:sz w:val="22"/>
          <w:szCs w:val="22"/>
          <w:lang w:val="it-IT"/>
        </w:rPr>
      </w:pPr>
      <w:r w:rsidRPr="002B6B0C">
        <w:rPr>
          <w:rFonts w:ascii="Trebuchet MS" w:hAnsi="Trebuchet MS"/>
          <w:sz w:val="22"/>
          <w:szCs w:val="22"/>
          <w:lang w:val="it-IT"/>
        </w:rPr>
        <w:t>Atragem atentia beneficiarilor ca invocarea unor acte normative privind ajustarea pretului nu poate justifica, prin ea insasi, modificarea unei formule contractuale deja asumate. Relevante sunt prevederile documentatiei de atribuire si ale contractului semnat. Ajustarea se poate realiza numai potrivit formulei si conditiilor stabilite initial, daca acestea sunt clare, precise, complete si aplicabile.</w:t>
      </w:r>
    </w:p>
    <w:p w14:paraId="4556D276" w14:textId="77777777" w:rsidR="002B6B0C" w:rsidRDefault="002B6B0C" w:rsidP="002B6B0C">
      <w:pPr>
        <w:jc w:val="both"/>
        <w:rPr>
          <w:rFonts w:ascii="Trebuchet MS" w:hAnsi="Trebuchet MS"/>
          <w:sz w:val="22"/>
          <w:szCs w:val="22"/>
          <w:lang w:val="it-IT"/>
        </w:rPr>
      </w:pPr>
      <w:r w:rsidRPr="00DC6D72">
        <w:rPr>
          <w:rFonts w:ascii="Trebuchet MS" w:hAnsi="Trebuchet MS"/>
          <w:b/>
          <w:bCs/>
          <w:sz w:val="22"/>
          <w:szCs w:val="22"/>
          <w:u w:val="single"/>
          <w:lang w:val="it-IT"/>
        </w:rPr>
        <w:t>De asemenea, existenta unei rezerve de implementare in bugetul proiectului nu constituie, prin ea insasi, temei pentru decontarea unor sume suplimentare.</w:t>
      </w:r>
      <w:r w:rsidRPr="002B6B0C">
        <w:rPr>
          <w:rFonts w:ascii="Trebuchet MS" w:hAnsi="Trebuchet MS"/>
          <w:sz w:val="22"/>
          <w:szCs w:val="22"/>
          <w:lang w:val="it-IT"/>
        </w:rPr>
        <w:t xml:space="preserve"> Rezerva de implementare poate reprezenta o sursa bugetara numai pentru cheltuieli legal si contractual datorate, eligibile potrivit regulilor programului si justificate prin documente conforme. Aceasta nu poate acoperi sau valida modificarea ulterioara a formulei de ajustare ori completarea unor elemente care nu au fost prevazute initial in contract/documentatia de atribuire.</w:t>
      </w:r>
    </w:p>
    <w:p w14:paraId="26B78D91" w14:textId="4D77B653" w:rsidR="004830B3" w:rsidRPr="004830B3" w:rsidRDefault="004830B3" w:rsidP="004830B3">
      <w:pPr>
        <w:shd w:val="clear" w:color="auto" w:fill="A5C9EB" w:themeFill="text2" w:themeFillTint="40"/>
        <w:jc w:val="both"/>
        <w:rPr>
          <w:rFonts w:ascii="Trebuchet MS" w:hAnsi="Trebuchet MS"/>
          <w:b/>
          <w:bCs/>
          <w:sz w:val="22"/>
          <w:szCs w:val="22"/>
          <w:lang w:val="it-IT"/>
        </w:rPr>
      </w:pPr>
      <w:r w:rsidRPr="004830B3">
        <w:rPr>
          <w:rFonts w:ascii="Trebuchet MS" w:hAnsi="Trebuchet MS"/>
          <w:b/>
          <w:bCs/>
          <w:sz w:val="22"/>
          <w:szCs w:val="22"/>
          <w:lang w:val="it-IT"/>
        </w:rPr>
        <w:t xml:space="preserve">2. </w:t>
      </w:r>
      <w:r w:rsidRPr="004830B3">
        <w:rPr>
          <w:rFonts w:ascii="Trebuchet MS" w:hAnsi="Trebuchet MS"/>
          <w:b/>
          <w:bCs/>
          <w:sz w:val="22"/>
          <w:szCs w:val="22"/>
          <w:lang w:val="it-IT"/>
        </w:rPr>
        <w:t>Ajustarea se aplica numai pentru perioada prevazuta in documentatia achizitiei/contract</w:t>
      </w:r>
    </w:p>
    <w:p w14:paraId="77D1B182" w14:textId="76C2FA58" w:rsidR="00C82401" w:rsidRPr="00820818" w:rsidRDefault="00C82401" w:rsidP="004830B3">
      <w:pPr>
        <w:pStyle w:val="ListParagraph"/>
        <w:ind w:left="72"/>
        <w:jc w:val="both"/>
        <w:rPr>
          <w:rFonts w:ascii="Trebuchet MS" w:hAnsi="Trebuchet MS"/>
          <w:sz w:val="22"/>
          <w:szCs w:val="22"/>
          <w:lang w:val="it-IT"/>
        </w:rPr>
      </w:pPr>
      <w:r w:rsidRPr="00820818">
        <w:rPr>
          <w:rFonts w:ascii="Trebuchet MS" w:hAnsi="Trebuchet MS"/>
          <w:b/>
          <w:bCs/>
          <w:sz w:val="22"/>
          <w:szCs w:val="22"/>
          <w:lang w:val="it-IT"/>
        </w:rPr>
        <w:t>Beneficiarii trebuie sa verifice, de asemenea, daca in etapa de atribuire au fost formulate solicitari de clarificari cu privire la modalitatea de aplicare a formulei de ajustare si daca autoritatea contractanta a emis un raspuns consolidat/raspuns la clarificari prin care au fost precizate conditii suplimentare sau explicatii privind aplicarea acesteia</w:t>
      </w:r>
      <w:r w:rsidRPr="00820818">
        <w:rPr>
          <w:rFonts w:ascii="Trebuchet MS" w:hAnsi="Trebuchet MS"/>
          <w:sz w:val="22"/>
          <w:szCs w:val="22"/>
          <w:lang w:val="it-IT"/>
        </w:rPr>
        <w:t>. In masura in care un astfel de raspuns a fost publicat in cadrul procedurii, acesta face parte din documentatia achizitiei si trebuie avut in vedere la aplicarea contractului.</w:t>
      </w:r>
    </w:p>
    <w:p w14:paraId="4293C7AE" w14:textId="5AA16DA1" w:rsidR="00C82401" w:rsidRPr="00C82401" w:rsidRDefault="00C82401" w:rsidP="00C82401">
      <w:pPr>
        <w:jc w:val="both"/>
        <w:rPr>
          <w:rFonts w:ascii="Trebuchet MS" w:hAnsi="Trebuchet MS"/>
          <w:sz w:val="22"/>
          <w:szCs w:val="22"/>
          <w:lang w:val="it-IT"/>
        </w:rPr>
      </w:pPr>
      <w:r w:rsidRPr="00C82401">
        <w:rPr>
          <w:rFonts w:ascii="Trebuchet MS" w:hAnsi="Trebuchet MS"/>
          <w:sz w:val="22"/>
          <w:szCs w:val="22"/>
          <w:lang w:val="it-IT"/>
        </w:rPr>
        <w:t xml:space="preserve">In acest sens, beneficiarii trebuie sa verifice inclusiv momentul de la care ajustarea pretului devine aplicabila. Pot exista situatii in care documentatia de atribuire, </w:t>
      </w:r>
      <w:r w:rsidRPr="00820818">
        <w:rPr>
          <w:rFonts w:ascii="Trebuchet MS" w:hAnsi="Trebuchet MS"/>
          <w:b/>
          <w:bCs/>
          <w:sz w:val="22"/>
          <w:szCs w:val="22"/>
          <w:lang w:val="it-IT"/>
        </w:rPr>
        <w:t>contractul sau raspunsul consolidat al autoritatii contractante au prevazut ca ajustarea se aplica numai dupa o anumita perioada, de exemplu dupa luna a 6-a/a 7-a de executare</w:t>
      </w:r>
      <w:r w:rsidRPr="00C82401">
        <w:rPr>
          <w:rFonts w:ascii="Trebuchet MS" w:hAnsi="Trebuchet MS"/>
          <w:sz w:val="22"/>
          <w:szCs w:val="22"/>
          <w:lang w:val="it-IT"/>
        </w:rPr>
        <w:t>, dupa expirarea unui anumit termen de la data semnarii contractului, ori numai pentru lucrarile executate dupa un anumit moment.</w:t>
      </w:r>
    </w:p>
    <w:p w14:paraId="3A603700" w14:textId="77777777" w:rsidR="00C82401" w:rsidRPr="00C82401" w:rsidRDefault="00C82401" w:rsidP="00C82401">
      <w:pPr>
        <w:jc w:val="both"/>
        <w:rPr>
          <w:rFonts w:ascii="Trebuchet MS" w:hAnsi="Trebuchet MS"/>
          <w:sz w:val="22"/>
          <w:szCs w:val="22"/>
          <w:lang w:val="it-IT"/>
        </w:rPr>
      </w:pPr>
      <w:r w:rsidRPr="00C82401">
        <w:rPr>
          <w:rFonts w:ascii="Trebuchet MS" w:hAnsi="Trebuchet MS"/>
          <w:sz w:val="22"/>
          <w:szCs w:val="22"/>
          <w:lang w:val="it-IT"/>
        </w:rPr>
        <w:t>In astfel de situatii, solicitarile de ajustare formulate de contractanti pentru perioade anterioare momentului stabilit in documentatia achizitiei/contract/raspunsul consolidat nu pot fi acceptate ca atare. Aplicarea formulei de ajustare incepand cu o data anterioara celei prevazute initial ar putea conduce la acordarea unor sume care nu sunt datorate contractual si poate genera riscuri de neeligibilitate/corectie financiara.</w:t>
      </w:r>
    </w:p>
    <w:p w14:paraId="182ADE35" w14:textId="77777777" w:rsidR="00C82401" w:rsidRPr="00DC6D72" w:rsidRDefault="00C82401" w:rsidP="00C82401">
      <w:pPr>
        <w:jc w:val="both"/>
        <w:rPr>
          <w:rFonts w:ascii="Trebuchet MS" w:hAnsi="Trebuchet MS"/>
          <w:b/>
          <w:bCs/>
          <w:sz w:val="22"/>
          <w:szCs w:val="22"/>
          <w:lang w:val="it-IT"/>
        </w:rPr>
      </w:pPr>
      <w:r w:rsidRPr="00DC6D72">
        <w:rPr>
          <w:rFonts w:ascii="Trebuchet MS" w:hAnsi="Trebuchet MS"/>
          <w:b/>
          <w:bCs/>
          <w:sz w:val="22"/>
          <w:szCs w:val="22"/>
          <w:lang w:val="it-IT"/>
        </w:rPr>
        <w:t>Prin urmare, la analizarea fiecarei solicitari de ajustare, beneficiarii trebuie sa verifice nu doar existenta si continutul formulei de calcul, ci si perioada pentru care aceasta poate fi aplicata, respectiv daca situatiile de lucrari pentru care se solicita ajustarea intra in intervalul contractual eligibil pentru ajustare.</w:t>
      </w:r>
    </w:p>
    <w:p w14:paraId="33B5D1AC" w14:textId="23A99C60" w:rsidR="002B6B0C" w:rsidRPr="002B6B0C" w:rsidRDefault="00D8301F" w:rsidP="002B6B0C">
      <w:pPr>
        <w:jc w:val="both"/>
        <w:rPr>
          <w:rFonts w:ascii="Trebuchet MS" w:hAnsi="Trebuchet MS"/>
          <w:sz w:val="22"/>
          <w:szCs w:val="22"/>
          <w:lang w:val="it-IT"/>
        </w:rPr>
      </w:pPr>
      <w:r>
        <w:rPr>
          <w:rFonts w:ascii="Trebuchet MS" w:hAnsi="Trebuchet MS"/>
          <w:sz w:val="22"/>
          <w:szCs w:val="22"/>
          <w:lang w:val="it-IT"/>
        </w:rPr>
        <w:t>Prin urmare, b</w:t>
      </w:r>
      <w:r w:rsidR="002B6B0C" w:rsidRPr="002B6B0C">
        <w:rPr>
          <w:rFonts w:ascii="Trebuchet MS" w:hAnsi="Trebuchet MS"/>
          <w:sz w:val="22"/>
          <w:szCs w:val="22"/>
          <w:lang w:val="it-IT"/>
        </w:rPr>
        <w:t>eneficiarii au obligatia de a analiza cu atentie toate solicitarile formulate de contractanti privind ajustarea pretului si de a verifica daca acestea reprezinta:</w:t>
      </w:r>
    </w:p>
    <w:p w14:paraId="74DBDE42" w14:textId="77777777" w:rsidR="002B6B0C" w:rsidRPr="00C43100" w:rsidRDefault="002B6B0C" w:rsidP="00C43100">
      <w:pPr>
        <w:pStyle w:val="ListParagraph"/>
        <w:numPr>
          <w:ilvl w:val="0"/>
          <w:numId w:val="2"/>
        </w:numPr>
        <w:jc w:val="both"/>
        <w:rPr>
          <w:rFonts w:ascii="Trebuchet MS" w:hAnsi="Trebuchet MS"/>
          <w:sz w:val="22"/>
          <w:szCs w:val="22"/>
          <w:lang w:val="it-IT"/>
        </w:rPr>
      </w:pPr>
      <w:r w:rsidRPr="00C43100">
        <w:rPr>
          <w:rFonts w:ascii="Trebuchet MS" w:hAnsi="Trebuchet MS"/>
          <w:sz w:val="22"/>
          <w:szCs w:val="22"/>
          <w:lang w:val="it-IT"/>
        </w:rPr>
        <w:t>aplicarea directa a unei clauze contractuale clare si complete; sau</w:t>
      </w:r>
    </w:p>
    <w:p w14:paraId="31EA7400" w14:textId="77777777" w:rsidR="002B6B0C" w:rsidRPr="00C43100" w:rsidRDefault="002B6B0C" w:rsidP="00C43100">
      <w:pPr>
        <w:pStyle w:val="ListParagraph"/>
        <w:numPr>
          <w:ilvl w:val="0"/>
          <w:numId w:val="2"/>
        </w:numPr>
        <w:jc w:val="both"/>
        <w:rPr>
          <w:rFonts w:ascii="Trebuchet MS" w:hAnsi="Trebuchet MS"/>
          <w:sz w:val="22"/>
          <w:szCs w:val="22"/>
          <w:lang w:val="it-IT"/>
        </w:rPr>
      </w:pPr>
      <w:r w:rsidRPr="00C43100">
        <w:rPr>
          <w:rFonts w:ascii="Trebuchet MS" w:hAnsi="Trebuchet MS"/>
          <w:sz w:val="22"/>
          <w:szCs w:val="22"/>
          <w:lang w:val="it-IT"/>
        </w:rPr>
        <w:t>modificarea/completarea/negocierea ulterioara a mecanismului de ajustare.</w:t>
      </w:r>
    </w:p>
    <w:p w14:paraId="2BE9713A" w14:textId="77777777" w:rsidR="002B6B0C" w:rsidRPr="002B6B0C" w:rsidRDefault="002B6B0C" w:rsidP="002B6B0C">
      <w:pPr>
        <w:jc w:val="both"/>
        <w:rPr>
          <w:rFonts w:ascii="Trebuchet MS" w:hAnsi="Trebuchet MS"/>
          <w:sz w:val="22"/>
          <w:szCs w:val="22"/>
          <w:lang w:val="it-IT"/>
        </w:rPr>
      </w:pPr>
      <w:r w:rsidRPr="00DC6D72">
        <w:rPr>
          <w:rFonts w:ascii="Trebuchet MS" w:hAnsi="Trebuchet MS"/>
          <w:b/>
          <w:bCs/>
          <w:sz w:val="22"/>
          <w:szCs w:val="22"/>
          <w:lang w:val="it-IT"/>
        </w:rPr>
        <w:lastRenderedPageBreak/>
        <w:t>Numai prima situatie poate fi avuta in vedere pentru aplicarea ajustarii in baza clauzei contractuale existente.</w:t>
      </w:r>
      <w:r w:rsidRPr="002B6B0C">
        <w:rPr>
          <w:rFonts w:ascii="Trebuchet MS" w:hAnsi="Trebuchet MS"/>
          <w:sz w:val="22"/>
          <w:szCs w:val="22"/>
          <w:lang w:val="it-IT"/>
        </w:rPr>
        <w:t xml:space="preserve"> In cea de-a doua situatie, exista risc semnificativ ca modificarea sa fie considerata neconforma cu legislatia achizitiilor publice.</w:t>
      </w:r>
    </w:p>
    <w:p w14:paraId="447AEB3C" w14:textId="77777777" w:rsidR="002B6B0C" w:rsidRPr="002B6B0C" w:rsidRDefault="002B6B0C" w:rsidP="002B6B0C">
      <w:pPr>
        <w:jc w:val="both"/>
        <w:rPr>
          <w:rFonts w:ascii="Trebuchet MS" w:hAnsi="Trebuchet MS"/>
          <w:sz w:val="22"/>
          <w:szCs w:val="22"/>
          <w:lang w:val="it-IT"/>
        </w:rPr>
      </w:pPr>
      <w:r w:rsidRPr="00DC6D72">
        <w:rPr>
          <w:rFonts w:ascii="Trebuchet MS" w:hAnsi="Trebuchet MS"/>
          <w:b/>
          <w:bCs/>
          <w:sz w:val="22"/>
          <w:szCs w:val="22"/>
          <w:u w:val="single"/>
          <w:lang w:val="it-IT"/>
        </w:rPr>
        <w:t>Recomandam beneficiarilor</w:t>
      </w:r>
      <w:r w:rsidRPr="002B6B0C">
        <w:rPr>
          <w:rFonts w:ascii="Trebuchet MS" w:hAnsi="Trebuchet MS"/>
          <w:sz w:val="22"/>
          <w:szCs w:val="22"/>
          <w:lang w:val="it-IT"/>
        </w:rPr>
        <w:t xml:space="preserve"> sa nu incheie acte aditionale avand ca obiect inlocuirea formulei de ajustare a pretului, completarea ulterioara a coeficientilor de calcul, stabilirea ulterioara a unor indici sau introducerea unui nou mecanism de ajustare, in lipsa unui temei legal si contractual clar care sa permita o asemenea modificare.</w:t>
      </w:r>
    </w:p>
    <w:p w14:paraId="064DFBEE" w14:textId="77777777" w:rsidR="002B6B0C" w:rsidRPr="002B6B0C" w:rsidRDefault="002B6B0C" w:rsidP="002B6B0C">
      <w:pPr>
        <w:jc w:val="both"/>
        <w:rPr>
          <w:rFonts w:ascii="Trebuchet MS" w:hAnsi="Trebuchet MS"/>
          <w:sz w:val="22"/>
          <w:szCs w:val="22"/>
          <w:lang w:val="it-IT"/>
        </w:rPr>
      </w:pPr>
      <w:r w:rsidRPr="002B6B0C">
        <w:rPr>
          <w:rFonts w:ascii="Trebuchet MS" w:hAnsi="Trebuchet MS"/>
          <w:sz w:val="22"/>
          <w:szCs w:val="22"/>
          <w:lang w:val="it-IT"/>
        </w:rPr>
        <w:t>Totodata, recomandam beneficiarilor ca, inainte de aprobarea oricarei solicitari de ajustare a pretului, sa documenteze temeinic analiza efectuata, prin raportare la:</w:t>
      </w:r>
    </w:p>
    <w:p w14:paraId="72C6741E" w14:textId="77777777" w:rsidR="002B6B0C" w:rsidRPr="00C43100" w:rsidRDefault="002B6B0C" w:rsidP="00C43100">
      <w:pPr>
        <w:pStyle w:val="ListParagraph"/>
        <w:numPr>
          <w:ilvl w:val="0"/>
          <w:numId w:val="3"/>
        </w:numPr>
        <w:jc w:val="both"/>
        <w:rPr>
          <w:rFonts w:ascii="Trebuchet MS" w:hAnsi="Trebuchet MS"/>
          <w:sz w:val="22"/>
          <w:szCs w:val="22"/>
          <w:lang w:val="it-IT"/>
        </w:rPr>
      </w:pPr>
      <w:r w:rsidRPr="00C43100">
        <w:rPr>
          <w:rFonts w:ascii="Trebuchet MS" w:hAnsi="Trebuchet MS"/>
          <w:sz w:val="22"/>
          <w:szCs w:val="22"/>
          <w:lang w:val="it-IT"/>
        </w:rPr>
        <w:t>documentatia de atribuire;</w:t>
      </w:r>
    </w:p>
    <w:p w14:paraId="42619637" w14:textId="77777777" w:rsidR="002B6B0C" w:rsidRPr="00C43100" w:rsidRDefault="002B6B0C" w:rsidP="00C43100">
      <w:pPr>
        <w:pStyle w:val="ListParagraph"/>
        <w:numPr>
          <w:ilvl w:val="0"/>
          <w:numId w:val="3"/>
        </w:numPr>
        <w:jc w:val="both"/>
        <w:rPr>
          <w:rFonts w:ascii="Trebuchet MS" w:hAnsi="Trebuchet MS"/>
          <w:sz w:val="22"/>
          <w:szCs w:val="22"/>
          <w:lang w:val="it-IT"/>
        </w:rPr>
      </w:pPr>
      <w:r w:rsidRPr="00C43100">
        <w:rPr>
          <w:rFonts w:ascii="Trebuchet MS" w:hAnsi="Trebuchet MS"/>
          <w:sz w:val="22"/>
          <w:szCs w:val="22"/>
          <w:lang w:val="it-IT"/>
        </w:rPr>
        <w:t>contractul de achizitie publica;</w:t>
      </w:r>
    </w:p>
    <w:p w14:paraId="34CC8470" w14:textId="77777777" w:rsidR="002B6B0C" w:rsidRPr="00C43100" w:rsidRDefault="002B6B0C" w:rsidP="00C43100">
      <w:pPr>
        <w:pStyle w:val="ListParagraph"/>
        <w:numPr>
          <w:ilvl w:val="0"/>
          <w:numId w:val="3"/>
        </w:numPr>
        <w:jc w:val="both"/>
        <w:rPr>
          <w:rFonts w:ascii="Trebuchet MS" w:hAnsi="Trebuchet MS"/>
          <w:sz w:val="22"/>
          <w:szCs w:val="22"/>
          <w:lang w:val="it-IT"/>
        </w:rPr>
      </w:pPr>
      <w:r w:rsidRPr="00C43100">
        <w:rPr>
          <w:rFonts w:ascii="Trebuchet MS" w:hAnsi="Trebuchet MS"/>
          <w:sz w:val="22"/>
          <w:szCs w:val="22"/>
          <w:lang w:val="it-IT"/>
        </w:rPr>
        <w:t>oferta financiara;</w:t>
      </w:r>
    </w:p>
    <w:p w14:paraId="42B8CD68" w14:textId="157FB3E7" w:rsidR="00C43100" w:rsidRPr="00C43100" w:rsidRDefault="00C43100" w:rsidP="00C43100">
      <w:pPr>
        <w:pStyle w:val="ListParagraph"/>
        <w:numPr>
          <w:ilvl w:val="0"/>
          <w:numId w:val="3"/>
        </w:numPr>
        <w:jc w:val="both"/>
        <w:rPr>
          <w:rFonts w:ascii="Trebuchet MS" w:hAnsi="Trebuchet MS"/>
          <w:sz w:val="22"/>
          <w:szCs w:val="22"/>
          <w:lang w:val="it-IT"/>
        </w:rPr>
      </w:pPr>
      <w:r w:rsidRPr="00C43100">
        <w:rPr>
          <w:rFonts w:ascii="Trebuchet MS" w:hAnsi="Trebuchet MS"/>
          <w:sz w:val="22"/>
          <w:szCs w:val="22"/>
          <w:lang w:val="it-IT"/>
        </w:rPr>
        <w:t>raspunsul consolidat al autoritatii contractante cu privire la modalitatea de aplicare a formulei de ajustare, daca a fost cazul</w:t>
      </w:r>
    </w:p>
    <w:p w14:paraId="250188F7" w14:textId="77777777" w:rsidR="002B6B0C" w:rsidRPr="00C43100" w:rsidRDefault="002B6B0C" w:rsidP="00C43100">
      <w:pPr>
        <w:pStyle w:val="ListParagraph"/>
        <w:numPr>
          <w:ilvl w:val="0"/>
          <w:numId w:val="3"/>
        </w:numPr>
        <w:jc w:val="both"/>
        <w:rPr>
          <w:rFonts w:ascii="Trebuchet MS" w:hAnsi="Trebuchet MS"/>
          <w:sz w:val="22"/>
          <w:szCs w:val="22"/>
          <w:lang w:val="it-IT"/>
        </w:rPr>
      </w:pPr>
      <w:r w:rsidRPr="00C43100">
        <w:rPr>
          <w:rFonts w:ascii="Trebuchet MS" w:hAnsi="Trebuchet MS"/>
          <w:sz w:val="22"/>
          <w:szCs w:val="22"/>
          <w:lang w:val="it-IT"/>
        </w:rPr>
        <w:t>prevederile art. 221 din Legea nr. 98/2016;</w:t>
      </w:r>
    </w:p>
    <w:p w14:paraId="01215C3B" w14:textId="77777777" w:rsidR="00C43100" w:rsidRDefault="002B6B0C" w:rsidP="002B6B0C">
      <w:pPr>
        <w:pStyle w:val="ListParagraph"/>
        <w:numPr>
          <w:ilvl w:val="0"/>
          <w:numId w:val="3"/>
        </w:numPr>
        <w:jc w:val="both"/>
        <w:rPr>
          <w:rFonts w:ascii="Trebuchet MS" w:hAnsi="Trebuchet MS"/>
          <w:sz w:val="22"/>
          <w:szCs w:val="22"/>
          <w:lang w:val="it-IT"/>
        </w:rPr>
      </w:pPr>
      <w:r w:rsidRPr="00C43100">
        <w:rPr>
          <w:rFonts w:ascii="Trebuchet MS" w:hAnsi="Trebuchet MS"/>
          <w:sz w:val="22"/>
          <w:szCs w:val="22"/>
          <w:lang w:val="it-IT"/>
        </w:rPr>
        <w:t>regulile de eligibilitate aplicabile Programului Regional Sud-Vest Oltenia;</w:t>
      </w:r>
    </w:p>
    <w:p w14:paraId="06D83E21" w14:textId="77777777" w:rsidR="002B6B0C" w:rsidRPr="002B6B0C" w:rsidRDefault="002B6B0C" w:rsidP="002B6B0C">
      <w:pPr>
        <w:jc w:val="both"/>
        <w:rPr>
          <w:rFonts w:ascii="Trebuchet MS" w:hAnsi="Trebuchet MS"/>
          <w:sz w:val="22"/>
          <w:szCs w:val="22"/>
          <w:lang w:val="it-IT"/>
        </w:rPr>
      </w:pPr>
      <w:r w:rsidRPr="002B6B0C">
        <w:rPr>
          <w:rFonts w:ascii="Trebuchet MS" w:hAnsi="Trebuchet MS"/>
          <w:sz w:val="22"/>
          <w:szCs w:val="22"/>
          <w:lang w:val="it-IT"/>
        </w:rPr>
        <w:t>Autoritatea contractanta ramane responsabila pentru modul de atribuire, executare si modificare a contractului de achizitie publica, precum si pentru legalitatea si regularitatea cheltuielilor solicitate la rambursare/decontare.</w:t>
      </w:r>
    </w:p>
    <w:p w14:paraId="5FA8C14F" w14:textId="0BC3DFB9" w:rsidR="00132C4E" w:rsidRPr="002B6B0C" w:rsidRDefault="002B6B0C" w:rsidP="002B6B0C">
      <w:pPr>
        <w:jc w:val="both"/>
        <w:rPr>
          <w:rFonts w:ascii="Trebuchet MS" w:hAnsi="Trebuchet MS"/>
          <w:sz w:val="22"/>
          <w:szCs w:val="22"/>
          <w:lang w:val="it-IT"/>
        </w:rPr>
      </w:pPr>
      <w:r w:rsidRPr="002B6B0C">
        <w:rPr>
          <w:rFonts w:ascii="Trebuchet MS" w:hAnsi="Trebuchet MS"/>
          <w:sz w:val="22"/>
          <w:szCs w:val="22"/>
          <w:lang w:val="it-IT"/>
        </w:rPr>
        <w:t>Prezenta atentionare are caracter general si preventiv si nu substituie analiza concreta pe care fiecare beneficiar trebuie sa o realizeze la nivelul propriului contract, in functie de documentatia de atribuire, clauzele contractuale si situatia de fapt aplicabila.</w:t>
      </w:r>
      <w:r w:rsidR="00DC6D72">
        <w:rPr>
          <w:rFonts w:ascii="Trebuchet MS" w:hAnsi="Trebuchet MS"/>
          <w:sz w:val="22"/>
          <w:szCs w:val="22"/>
          <w:lang w:val="it-IT"/>
        </w:rPr>
        <w:t xml:space="preserve"> </w:t>
      </w:r>
      <w:r w:rsidRPr="002B6B0C">
        <w:rPr>
          <w:rFonts w:ascii="Trebuchet MS" w:hAnsi="Trebuchet MS"/>
          <w:sz w:val="22"/>
          <w:szCs w:val="22"/>
          <w:lang w:val="it-IT"/>
        </w:rPr>
        <w:t>Autoritatea de Management recomanda beneficiarilor o abordare prudenta, pentru evitarea riscului de neeligibilitate a cheltuielilor, de constatare a unor nereguli si de aplicare a unor corectii financiare in cadrul verificarilor ulterioare.</w:t>
      </w:r>
    </w:p>
    <w:sectPr w:rsidR="00132C4E" w:rsidRPr="002B6B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4C35"/>
    <w:multiLevelType w:val="hybridMultilevel"/>
    <w:tmpl w:val="AE4C4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B3D3D"/>
    <w:multiLevelType w:val="hybridMultilevel"/>
    <w:tmpl w:val="2D884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B6CB9"/>
    <w:multiLevelType w:val="hybridMultilevel"/>
    <w:tmpl w:val="BCA4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701D4"/>
    <w:multiLevelType w:val="hybridMultilevel"/>
    <w:tmpl w:val="AB36E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397874">
    <w:abstractNumId w:val="3"/>
  </w:num>
  <w:num w:numId="2" w16cid:durableId="1590892879">
    <w:abstractNumId w:val="0"/>
  </w:num>
  <w:num w:numId="3" w16cid:durableId="1263295926">
    <w:abstractNumId w:val="1"/>
  </w:num>
  <w:num w:numId="4" w16cid:durableId="111420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57"/>
    <w:rsid w:val="000C5057"/>
    <w:rsid w:val="00121DD1"/>
    <w:rsid w:val="00132C4E"/>
    <w:rsid w:val="002A78A4"/>
    <w:rsid w:val="002B50D5"/>
    <w:rsid w:val="002B6B0C"/>
    <w:rsid w:val="00366D6D"/>
    <w:rsid w:val="004830B3"/>
    <w:rsid w:val="00820818"/>
    <w:rsid w:val="00843869"/>
    <w:rsid w:val="008D1072"/>
    <w:rsid w:val="00901B1C"/>
    <w:rsid w:val="00B13AE8"/>
    <w:rsid w:val="00C43100"/>
    <w:rsid w:val="00C82401"/>
    <w:rsid w:val="00D46D2D"/>
    <w:rsid w:val="00D8301F"/>
    <w:rsid w:val="00DC6D72"/>
    <w:rsid w:val="00F6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6A8B"/>
  <w15:chartTrackingRefBased/>
  <w15:docId w15:val="{8AC81F0E-DD75-4663-B600-C482942C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057"/>
    <w:rPr>
      <w:rFonts w:eastAsiaTheme="majorEastAsia" w:cstheme="majorBidi"/>
      <w:color w:val="272727" w:themeColor="text1" w:themeTint="D8"/>
    </w:rPr>
  </w:style>
  <w:style w:type="paragraph" w:styleId="Title">
    <w:name w:val="Title"/>
    <w:basedOn w:val="Normal"/>
    <w:next w:val="Normal"/>
    <w:link w:val="TitleChar"/>
    <w:uiPriority w:val="10"/>
    <w:qFormat/>
    <w:rsid w:val="000C5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057"/>
    <w:pPr>
      <w:spacing w:before="160"/>
      <w:jc w:val="center"/>
    </w:pPr>
    <w:rPr>
      <w:i/>
      <w:iCs/>
      <w:color w:val="404040" w:themeColor="text1" w:themeTint="BF"/>
    </w:rPr>
  </w:style>
  <w:style w:type="character" w:customStyle="1" w:styleId="QuoteChar">
    <w:name w:val="Quote Char"/>
    <w:basedOn w:val="DefaultParagraphFont"/>
    <w:link w:val="Quote"/>
    <w:uiPriority w:val="29"/>
    <w:rsid w:val="000C5057"/>
    <w:rPr>
      <w:i/>
      <w:iCs/>
      <w:color w:val="404040" w:themeColor="text1" w:themeTint="BF"/>
    </w:rPr>
  </w:style>
  <w:style w:type="paragraph" w:styleId="ListParagraph">
    <w:name w:val="List Paragraph"/>
    <w:basedOn w:val="Normal"/>
    <w:uiPriority w:val="34"/>
    <w:qFormat/>
    <w:rsid w:val="000C5057"/>
    <w:pPr>
      <w:ind w:left="720"/>
      <w:contextualSpacing/>
    </w:pPr>
  </w:style>
  <w:style w:type="character" w:styleId="IntenseEmphasis">
    <w:name w:val="Intense Emphasis"/>
    <w:basedOn w:val="DefaultParagraphFont"/>
    <w:uiPriority w:val="21"/>
    <w:qFormat/>
    <w:rsid w:val="000C5057"/>
    <w:rPr>
      <w:i/>
      <w:iCs/>
      <w:color w:val="0F4761" w:themeColor="accent1" w:themeShade="BF"/>
    </w:rPr>
  </w:style>
  <w:style w:type="paragraph" w:styleId="IntenseQuote">
    <w:name w:val="Intense Quote"/>
    <w:basedOn w:val="Normal"/>
    <w:next w:val="Normal"/>
    <w:link w:val="IntenseQuoteChar"/>
    <w:uiPriority w:val="30"/>
    <w:qFormat/>
    <w:rsid w:val="000C5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057"/>
    <w:rPr>
      <w:i/>
      <w:iCs/>
      <w:color w:val="0F4761" w:themeColor="accent1" w:themeShade="BF"/>
    </w:rPr>
  </w:style>
  <w:style w:type="character" w:styleId="IntenseReference">
    <w:name w:val="Intense Reference"/>
    <w:basedOn w:val="DefaultParagraphFont"/>
    <w:uiPriority w:val="32"/>
    <w:qFormat/>
    <w:rsid w:val="000C50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Dumitrescu</dc:creator>
  <cp:keywords/>
  <dc:description/>
  <cp:lastModifiedBy>Alina Dumitrescu</cp:lastModifiedBy>
  <cp:revision>7</cp:revision>
  <dcterms:created xsi:type="dcterms:W3CDTF">2026-05-21T13:24:00Z</dcterms:created>
  <dcterms:modified xsi:type="dcterms:W3CDTF">2026-05-22T07:34:00Z</dcterms:modified>
</cp:coreProperties>
</file>